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F38" w:rsidRDefault="00EE5F38" w:rsidP="00EE5F38">
      <w:pPr>
        <w:pStyle w:val="Title"/>
        <w:ind w:left="720" w:right="144"/>
        <w:rPr>
          <w:rFonts w:ascii="Arial" w:hAnsi="Arial" w:cs="Arial"/>
          <w:sz w:val="24"/>
          <w:szCs w:val="24"/>
        </w:rPr>
      </w:pPr>
      <w:r>
        <w:rPr>
          <w:rFonts w:ascii="Arial" w:hAnsi="Arial" w:cs="Arial"/>
          <w:sz w:val="24"/>
          <w:szCs w:val="24"/>
        </w:rPr>
        <w:t>ANNOUNCEMENT</w:t>
      </w:r>
    </w:p>
    <w:p w:rsidR="00EE5F38" w:rsidRDefault="00EE5F38" w:rsidP="00EE5F38">
      <w:pPr>
        <w:ind w:left="720" w:right="144"/>
        <w:rPr>
          <w:rFonts w:ascii="Arial" w:hAnsi="Arial" w:cs="Arial"/>
          <w:sz w:val="24"/>
          <w:szCs w:val="24"/>
        </w:rPr>
      </w:pPr>
    </w:p>
    <w:tbl>
      <w:tblPr>
        <w:tblW w:w="9000" w:type="dxa"/>
        <w:tblInd w:w="720" w:type="dxa"/>
        <w:tblCellMar>
          <w:left w:w="0" w:type="dxa"/>
          <w:right w:w="0" w:type="dxa"/>
        </w:tblCellMar>
        <w:tblLook w:val="04A0"/>
      </w:tblPr>
      <w:tblGrid>
        <w:gridCol w:w="6768"/>
        <w:gridCol w:w="2232"/>
      </w:tblGrid>
      <w:tr w:rsidR="00EE5F38" w:rsidTr="00EE5F38">
        <w:tc>
          <w:tcPr>
            <w:tcW w:w="6768" w:type="dxa"/>
            <w:tcMar>
              <w:top w:w="0" w:type="dxa"/>
              <w:left w:w="108" w:type="dxa"/>
              <w:bottom w:w="0" w:type="dxa"/>
              <w:right w:w="108" w:type="dxa"/>
            </w:tcMar>
            <w:hideMark/>
          </w:tcPr>
          <w:p w:rsidR="00EE5F38" w:rsidRDefault="00EE5F38">
            <w:pPr>
              <w:pStyle w:val="heading"/>
              <w:spacing w:line="252" w:lineRule="auto"/>
              <w:ind w:right="144"/>
              <w:rPr>
                <w:sz w:val="24"/>
                <w:szCs w:val="24"/>
              </w:rPr>
            </w:pPr>
            <w:r>
              <w:rPr>
                <w:sz w:val="24"/>
                <w:szCs w:val="24"/>
              </w:rPr>
              <w:t>Department of Energy</w:t>
            </w:r>
          </w:p>
        </w:tc>
        <w:tc>
          <w:tcPr>
            <w:tcW w:w="2232" w:type="dxa"/>
            <w:tcMar>
              <w:top w:w="0" w:type="dxa"/>
              <w:left w:w="108" w:type="dxa"/>
              <w:bottom w:w="0" w:type="dxa"/>
              <w:right w:w="108" w:type="dxa"/>
            </w:tcMar>
            <w:hideMark/>
          </w:tcPr>
          <w:p w:rsidR="00EE5F38" w:rsidRDefault="00EE5F38">
            <w:pPr>
              <w:pStyle w:val="heading"/>
              <w:spacing w:line="252" w:lineRule="auto"/>
              <w:ind w:right="144"/>
              <w:rPr>
                <w:sz w:val="24"/>
                <w:szCs w:val="24"/>
              </w:rPr>
            </w:pPr>
            <w:r>
              <w:rPr>
                <w:b/>
                <w:bCs/>
                <w:sz w:val="24"/>
                <w:szCs w:val="24"/>
              </w:rPr>
              <w:t>RL No.:</w:t>
            </w:r>
            <w:r>
              <w:rPr>
                <w:sz w:val="24"/>
                <w:szCs w:val="24"/>
              </w:rPr>
              <w:t xml:space="preserve">  </w:t>
            </w:r>
            <w:bookmarkStart w:id="0" w:name="rlno"/>
            <w:bookmarkEnd w:id="0"/>
            <w:r>
              <w:rPr>
                <w:sz w:val="24"/>
                <w:szCs w:val="24"/>
              </w:rPr>
              <w:t>15-0125</w:t>
            </w:r>
          </w:p>
        </w:tc>
      </w:tr>
      <w:tr w:rsidR="00EE5F38" w:rsidTr="00EE5F38">
        <w:tc>
          <w:tcPr>
            <w:tcW w:w="6768" w:type="dxa"/>
            <w:tcMar>
              <w:top w:w="0" w:type="dxa"/>
              <w:left w:w="108" w:type="dxa"/>
              <w:bottom w:w="0" w:type="dxa"/>
              <w:right w:w="108" w:type="dxa"/>
            </w:tcMar>
            <w:hideMark/>
          </w:tcPr>
          <w:p w:rsidR="00EE5F38" w:rsidRDefault="00EE5F38">
            <w:pPr>
              <w:pStyle w:val="heading"/>
              <w:spacing w:line="252" w:lineRule="auto"/>
              <w:ind w:right="144"/>
              <w:rPr>
                <w:sz w:val="24"/>
                <w:szCs w:val="24"/>
              </w:rPr>
            </w:pPr>
            <w:r>
              <w:rPr>
                <w:sz w:val="24"/>
                <w:szCs w:val="24"/>
              </w:rPr>
              <w:t>Richland Operations Office</w:t>
            </w:r>
          </w:p>
        </w:tc>
        <w:tc>
          <w:tcPr>
            <w:tcW w:w="2232" w:type="dxa"/>
            <w:tcMar>
              <w:top w:w="0" w:type="dxa"/>
              <w:left w:w="108" w:type="dxa"/>
              <w:bottom w:w="0" w:type="dxa"/>
              <w:right w:w="108" w:type="dxa"/>
            </w:tcMar>
          </w:tcPr>
          <w:p w:rsidR="00EE5F38" w:rsidRDefault="00EE5F38">
            <w:pPr>
              <w:pStyle w:val="heading"/>
              <w:spacing w:line="252" w:lineRule="auto"/>
              <w:ind w:right="144"/>
              <w:rPr>
                <w:b/>
                <w:bCs/>
                <w:sz w:val="24"/>
                <w:szCs w:val="24"/>
              </w:rPr>
            </w:pPr>
          </w:p>
        </w:tc>
      </w:tr>
      <w:tr w:rsidR="00EE5F38" w:rsidTr="00EE5F38">
        <w:tc>
          <w:tcPr>
            <w:tcW w:w="6768" w:type="dxa"/>
            <w:tcMar>
              <w:top w:w="0" w:type="dxa"/>
              <w:left w:w="108" w:type="dxa"/>
              <w:bottom w:w="0" w:type="dxa"/>
              <w:right w:w="108" w:type="dxa"/>
            </w:tcMar>
            <w:hideMark/>
          </w:tcPr>
          <w:p w:rsidR="00EE5F38" w:rsidRDefault="00EE5F38">
            <w:pPr>
              <w:pStyle w:val="heading"/>
              <w:spacing w:line="252" w:lineRule="auto"/>
              <w:ind w:right="144"/>
              <w:rPr>
                <w:sz w:val="24"/>
                <w:szCs w:val="24"/>
              </w:rPr>
            </w:pPr>
            <w:r>
              <w:rPr>
                <w:sz w:val="24"/>
                <w:szCs w:val="24"/>
              </w:rPr>
              <w:t>P.O. Box 550</w:t>
            </w:r>
          </w:p>
        </w:tc>
        <w:tc>
          <w:tcPr>
            <w:tcW w:w="2232" w:type="dxa"/>
            <w:tcMar>
              <w:top w:w="0" w:type="dxa"/>
              <w:left w:w="108" w:type="dxa"/>
              <w:bottom w:w="0" w:type="dxa"/>
              <w:right w:w="108" w:type="dxa"/>
            </w:tcMar>
          </w:tcPr>
          <w:p w:rsidR="00EE5F38" w:rsidRDefault="00EE5F38">
            <w:pPr>
              <w:pStyle w:val="heading"/>
              <w:spacing w:line="252" w:lineRule="auto"/>
              <w:ind w:right="144"/>
              <w:rPr>
                <w:b/>
                <w:bCs/>
                <w:sz w:val="24"/>
                <w:szCs w:val="24"/>
              </w:rPr>
            </w:pPr>
          </w:p>
        </w:tc>
      </w:tr>
      <w:tr w:rsidR="00EE5F38" w:rsidTr="00EE5F38">
        <w:tc>
          <w:tcPr>
            <w:tcW w:w="6768" w:type="dxa"/>
            <w:tcMar>
              <w:top w:w="0" w:type="dxa"/>
              <w:left w:w="108" w:type="dxa"/>
              <w:bottom w:w="0" w:type="dxa"/>
              <w:right w:w="108" w:type="dxa"/>
            </w:tcMar>
            <w:hideMark/>
          </w:tcPr>
          <w:p w:rsidR="00EE5F38" w:rsidRDefault="00EE5F38">
            <w:pPr>
              <w:pStyle w:val="heading"/>
              <w:spacing w:line="252" w:lineRule="auto"/>
              <w:ind w:right="144"/>
              <w:rPr>
                <w:sz w:val="24"/>
                <w:szCs w:val="24"/>
              </w:rPr>
            </w:pPr>
            <w:r>
              <w:rPr>
                <w:sz w:val="24"/>
                <w:szCs w:val="24"/>
              </w:rPr>
              <w:t>Richland, Washington  99352</w:t>
            </w:r>
          </w:p>
        </w:tc>
        <w:tc>
          <w:tcPr>
            <w:tcW w:w="2232" w:type="dxa"/>
            <w:tcMar>
              <w:top w:w="0" w:type="dxa"/>
              <w:left w:w="108" w:type="dxa"/>
              <w:bottom w:w="0" w:type="dxa"/>
              <w:right w:w="108" w:type="dxa"/>
            </w:tcMar>
            <w:hideMark/>
          </w:tcPr>
          <w:p w:rsidR="00EE5F38" w:rsidRDefault="00EE5F38">
            <w:pPr>
              <w:pStyle w:val="heading"/>
              <w:spacing w:line="252" w:lineRule="auto"/>
              <w:ind w:right="144"/>
              <w:rPr>
                <w:b/>
                <w:bCs/>
                <w:sz w:val="24"/>
                <w:szCs w:val="24"/>
              </w:rPr>
            </w:pPr>
            <w:r>
              <w:rPr>
                <w:b/>
                <w:bCs/>
                <w:sz w:val="24"/>
                <w:szCs w:val="24"/>
              </w:rPr>
              <w:t>Issued:</w:t>
            </w:r>
            <w:r>
              <w:rPr>
                <w:sz w:val="24"/>
                <w:szCs w:val="24"/>
              </w:rPr>
              <w:t xml:space="preserve"> </w:t>
            </w:r>
            <w:bookmarkStart w:id="1" w:name="issued"/>
            <w:bookmarkEnd w:id="1"/>
            <w:r>
              <w:rPr>
                <w:sz w:val="24"/>
                <w:szCs w:val="24"/>
              </w:rPr>
              <w:t>7/15/2015</w:t>
            </w:r>
          </w:p>
        </w:tc>
      </w:tr>
    </w:tbl>
    <w:p w:rsidR="00EE5F38" w:rsidRDefault="00EE5F38" w:rsidP="00EE5F38">
      <w:pPr>
        <w:pStyle w:val="heading"/>
        <w:ind w:left="720" w:right="144"/>
        <w:rPr>
          <w:sz w:val="24"/>
          <w:szCs w:val="24"/>
        </w:rPr>
      </w:pPr>
    </w:p>
    <w:tbl>
      <w:tblPr>
        <w:tblW w:w="9000" w:type="dxa"/>
        <w:tblInd w:w="720" w:type="dxa"/>
        <w:tblCellMar>
          <w:left w:w="0" w:type="dxa"/>
          <w:right w:w="0" w:type="dxa"/>
        </w:tblCellMar>
        <w:tblLook w:val="04A0"/>
      </w:tblPr>
      <w:tblGrid>
        <w:gridCol w:w="1368"/>
        <w:gridCol w:w="7632"/>
      </w:tblGrid>
      <w:tr w:rsidR="00EE5F38" w:rsidTr="00EE5F38">
        <w:tc>
          <w:tcPr>
            <w:tcW w:w="1368" w:type="dxa"/>
            <w:tcMar>
              <w:top w:w="0" w:type="dxa"/>
              <w:left w:w="108" w:type="dxa"/>
              <w:bottom w:w="0" w:type="dxa"/>
              <w:right w:w="108" w:type="dxa"/>
            </w:tcMar>
            <w:hideMark/>
          </w:tcPr>
          <w:p w:rsidR="00EE5F38" w:rsidRDefault="00EE5F38">
            <w:pPr>
              <w:spacing w:line="252" w:lineRule="auto"/>
              <w:ind w:right="144"/>
              <w:rPr>
                <w:rFonts w:ascii="Arial" w:hAnsi="Arial" w:cs="Arial"/>
                <w:sz w:val="24"/>
                <w:szCs w:val="24"/>
              </w:rPr>
            </w:pPr>
            <w:r>
              <w:rPr>
                <w:rStyle w:val="toheading"/>
                <w:sz w:val="24"/>
                <w:szCs w:val="24"/>
              </w:rPr>
              <w:t>To:</w:t>
            </w:r>
          </w:p>
        </w:tc>
        <w:tc>
          <w:tcPr>
            <w:tcW w:w="7632" w:type="dxa"/>
            <w:tcMar>
              <w:top w:w="0" w:type="dxa"/>
              <w:left w:w="108" w:type="dxa"/>
              <w:bottom w:w="0" w:type="dxa"/>
              <w:right w:w="108" w:type="dxa"/>
            </w:tcMar>
            <w:hideMark/>
          </w:tcPr>
          <w:p w:rsidR="00EE5F38" w:rsidRDefault="00EE5F38">
            <w:pPr>
              <w:spacing w:line="252" w:lineRule="auto"/>
              <w:ind w:right="144"/>
              <w:rPr>
                <w:rFonts w:ascii="Arial" w:hAnsi="Arial" w:cs="Arial"/>
                <w:sz w:val="24"/>
                <w:szCs w:val="24"/>
              </w:rPr>
            </w:pPr>
            <w:bookmarkStart w:id="2" w:name="to"/>
            <w:bookmarkEnd w:id="2"/>
            <w:r>
              <w:rPr>
                <w:rFonts w:ascii="Arial" w:hAnsi="Arial" w:cs="Arial"/>
                <w:sz w:val="24"/>
                <w:szCs w:val="24"/>
              </w:rPr>
              <w:t>ALL HANFORD SITE EMPLOYEES</w:t>
            </w:r>
          </w:p>
        </w:tc>
      </w:tr>
      <w:tr w:rsidR="00EE5F38" w:rsidTr="00EE5F38">
        <w:tc>
          <w:tcPr>
            <w:tcW w:w="1368" w:type="dxa"/>
            <w:tcMar>
              <w:top w:w="0" w:type="dxa"/>
              <w:left w:w="108" w:type="dxa"/>
              <w:bottom w:w="0" w:type="dxa"/>
              <w:right w:w="108" w:type="dxa"/>
            </w:tcMar>
          </w:tcPr>
          <w:p w:rsidR="00EE5F38" w:rsidRDefault="00EE5F38">
            <w:pPr>
              <w:spacing w:line="252" w:lineRule="auto"/>
              <w:ind w:right="144"/>
              <w:rPr>
                <w:rStyle w:val="toheading"/>
                <w:b w:val="0"/>
                <w:bCs w:val="0"/>
              </w:rPr>
            </w:pPr>
          </w:p>
        </w:tc>
        <w:tc>
          <w:tcPr>
            <w:tcW w:w="7632" w:type="dxa"/>
            <w:tcMar>
              <w:top w:w="0" w:type="dxa"/>
              <w:left w:w="108" w:type="dxa"/>
              <w:bottom w:w="0" w:type="dxa"/>
              <w:right w:w="108" w:type="dxa"/>
            </w:tcMar>
          </w:tcPr>
          <w:p w:rsidR="00EE5F38" w:rsidRDefault="00EE5F38">
            <w:pPr>
              <w:spacing w:line="252" w:lineRule="auto"/>
              <w:ind w:right="144"/>
            </w:pPr>
          </w:p>
        </w:tc>
      </w:tr>
      <w:tr w:rsidR="00EE5F38" w:rsidTr="00EE5F38">
        <w:tc>
          <w:tcPr>
            <w:tcW w:w="1368" w:type="dxa"/>
            <w:tcMar>
              <w:top w:w="0" w:type="dxa"/>
              <w:left w:w="108" w:type="dxa"/>
              <w:bottom w:w="0" w:type="dxa"/>
              <w:right w:w="108" w:type="dxa"/>
            </w:tcMar>
            <w:hideMark/>
          </w:tcPr>
          <w:p w:rsidR="00EE5F38" w:rsidRDefault="00EE5F38">
            <w:pPr>
              <w:spacing w:line="252" w:lineRule="auto"/>
              <w:ind w:right="144"/>
              <w:rPr>
                <w:rFonts w:ascii="Arial" w:hAnsi="Arial" w:cs="Arial"/>
                <w:sz w:val="24"/>
                <w:szCs w:val="24"/>
              </w:rPr>
            </w:pPr>
            <w:r>
              <w:rPr>
                <w:rStyle w:val="toheading"/>
                <w:sz w:val="24"/>
                <w:szCs w:val="24"/>
              </w:rPr>
              <w:t>Subject:</w:t>
            </w:r>
          </w:p>
        </w:tc>
        <w:tc>
          <w:tcPr>
            <w:tcW w:w="7632" w:type="dxa"/>
            <w:tcMar>
              <w:top w:w="0" w:type="dxa"/>
              <w:left w:w="108" w:type="dxa"/>
              <w:bottom w:w="0" w:type="dxa"/>
              <w:right w:w="108" w:type="dxa"/>
            </w:tcMar>
            <w:hideMark/>
          </w:tcPr>
          <w:p w:rsidR="00EE5F38" w:rsidRDefault="00EE5F38">
            <w:pPr>
              <w:spacing w:line="252" w:lineRule="auto"/>
              <w:ind w:right="144"/>
              <w:rPr>
                <w:rFonts w:ascii="Arial" w:hAnsi="Arial" w:cs="Arial"/>
                <w:caps/>
                <w:sz w:val="24"/>
                <w:szCs w:val="24"/>
              </w:rPr>
            </w:pPr>
            <w:bookmarkStart w:id="3" w:name="subject"/>
            <w:bookmarkEnd w:id="3"/>
            <w:r>
              <w:rPr>
                <w:rFonts w:ascii="Arial" w:hAnsi="Arial" w:cs="Arial"/>
                <w:caps/>
                <w:sz w:val="24"/>
                <w:szCs w:val="24"/>
              </w:rPr>
              <w:t xml:space="preserve">INFORMATION FROM THE DEPARTMENT OF LABOR REGARDING </w:t>
            </w:r>
            <w:r>
              <w:rPr>
                <w:rFonts w:ascii="Arial" w:hAnsi="Arial" w:cs="Arial"/>
                <w:color w:val="000000"/>
                <w:sz w:val="24"/>
                <w:szCs w:val="24"/>
              </w:rPr>
              <w:t>ENERGY EMPLOYEES OCCUPATIONAL ILLNESS COMPENSATION PROGRAM ACT (EEOICPA) COMPENSATION FOR ILLNESSES</w:t>
            </w:r>
          </w:p>
        </w:tc>
      </w:tr>
    </w:tbl>
    <w:p w:rsidR="00EE5F38" w:rsidRDefault="00EE5F38" w:rsidP="00EE5F38">
      <w:pPr>
        <w:shd w:val="clear" w:color="auto" w:fill="FFFFFF"/>
        <w:ind w:left="720"/>
        <w:rPr>
          <w:rFonts w:ascii="Arial" w:hAnsi="Arial" w:cs="Arial"/>
          <w:color w:val="000000"/>
          <w:sz w:val="24"/>
          <w:szCs w:val="24"/>
        </w:rPr>
      </w:pPr>
    </w:p>
    <w:p w:rsidR="00EE5F38" w:rsidRDefault="00EE5F38" w:rsidP="00EE5F38">
      <w:pPr>
        <w:shd w:val="clear" w:color="auto" w:fill="FFFFFF"/>
        <w:ind w:left="720"/>
        <w:rPr>
          <w:rFonts w:ascii="Arial" w:hAnsi="Arial" w:cs="Arial"/>
          <w:color w:val="000000"/>
          <w:sz w:val="24"/>
          <w:szCs w:val="24"/>
        </w:rPr>
      </w:pPr>
    </w:p>
    <w:p w:rsidR="00EE5F38" w:rsidRDefault="00EE5F38" w:rsidP="00EE5F38">
      <w:pPr>
        <w:shd w:val="clear" w:color="auto" w:fill="FFFFFF"/>
        <w:ind w:left="720"/>
        <w:rPr>
          <w:rFonts w:ascii="Arial" w:hAnsi="Arial" w:cs="Arial"/>
          <w:color w:val="000000"/>
          <w:sz w:val="24"/>
          <w:szCs w:val="24"/>
        </w:rPr>
      </w:pPr>
      <w:r>
        <w:rPr>
          <w:rFonts w:ascii="Arial" w:hAnsi="Arial" w:cs="Arial"/>
          <w:color w:val="000000"/>
          <w:sz w:val="24"/>
          <w:szCs w:val="24"/>
        </w:rPr>
        <w:t xml:space="preserve">Below is information from the Department of Labor regarding changes to give former Hanford nuclear weapons </w:t>
      </w:r>
      <w:proofErr w:type="gramStart"/>
      <w:r>
        <w:rPr>
          <w:rFonts w:ascii="Arial" w:hAnsi="Arial" w:cs="Arial"/>
          <w:color w:val="000000"/>
          <w:sz w:val="24"/>
          <w:szCs w:val="24"/>
        </w:rPr>
        <w:t>contractors</w:t>
      </w:r>
      <w:proofErr w:type="gramEnd"/>
      <w:r>
        <w:rPr>
          <w:rFonts w:ascii="Arial" w:hAnsi="Arial" w:cs="Arial"/>
          <w:color w:val="000000"/>
          <w:sz w:val="24"/>
          <w:szCs w:val="24"/>
        </w:rPr>
        <w:t xml:space="preserve"> easier access to EEOICPA compensation for illnesses: </w:t>
      </w:r>
    </w:p>
    <w:p w:rsidR="00EE5F38" w:rsidRDefault="00EE5F38" w:rsidP="00EE5F38">
      <w:pPr>
        <w:shd w:val="clear" w:color="auto" w:fill="FFFFFF"/>
        <w:ind w:left="720"/>
        <w:rPr>
          <w:rFonts w:ascii="Arial" w:hAnsi="Arial" w:cs="Arial"/>
          <w:color w:val="000000"/>
          <w:sz w:val="24"/>
          <w:szCs w:val="24"/>
        </w:rPr>
      </w:pPr>
    </w:p>
    <w:p w:rsidR="00EE5F38" w:rsidRDefault="00EE5F38" w:rsidP="00EE5F38">
      <w:pPr>
        <w:shd w:val="clear" w:color="auto" w:fill="FFFFFF"/>
        <w:ind w:left="720"/>
        <w:rPr>
          <w:rFonts w:ascii="Arial" w:hAnsi="Arial" w:cs="Arial"/>
          <w:color w:val="000000"/>
          <w:sz w:val="24"/>
          <w:szCs w:val="24"/>
        </w:rPr>
      </w:pPr>
      <w:r>
        <w:rPr>
          <w:rFonts w:ascii="Arial" w:hAnsi="Arial" w:cs="Arial"/>
          <w:color w:val="000000"/>
          <w:sz w:val="24"/>
          <w:szCs w:val="24"/>
        </w:rPr>
        <w:t xml:space="preserve">Former U.S. Department of Energy (DOE) contractors and subcontractors who worked at the Hanford Site in Richland may qualify for a presumption of causation if they are included in a designated </w:t>
      </w:r>
      <w:hyperlink r:id="rId4" w:history="1">
        <w:r>
          <w:rPr>
            <w:rStyle w:val="Hyperlink"/>
            <w:rFonts w:ascii="Arial" w:hAnsi="Arial" w:cs="Arial"/>
            <w:color w:val="0000FF"/>
            <w:sz w:val="24"/>
            <w:szCs w:val="24"/>
          </w:rPr>
          <w:t>Special Exposure Cohort</w:t>
        </w:r>
      </w:hyperlink>
      <w:r>
        <w:rPr>
          <w:rFonts w:ascii="Arial" w:hAnsi="Arial" w:cs="Arial"/>
          <w:color w:val="000000"/>
          <w:sz w:val="24"/>
          <w:szCs w:val="24"/>
        </w:rPr>
        <w:t xml:space="preserve"> (SEC) class of employees, and diagnosed with one of 22 specified cancers.  The change comes after the U.S. Department of Health and Human Services amended its SEC in May 2015.  This SEC designation took effect on June 21, 2015. </w:t>
      </w:r>
    </w:p>
    <w:p w:rsidR="00EE5F38" w:rsidRDefault="00EE5F38" w:rsidP="00EE5F38">
      <w:pPr>
        <w:shd w:val="clear" w:color="auto" w:fill="FFFFFF"/>
        <w:ind w:left="720"/>
        <w:rPr>
          <w:rFonts w:ascii="Arial" w:hAnsi="Arial" w:cs="Arial"/>
          <w:color w:val="000000"/>
          <w:sz w:val="24"/>
          <w:szCs w:val="24"/>
        </w:rPr>
      </w:pPr>
    </w:p>
    <w:p w:rsidR="00EE5F38" w:rsidRDefault="00EE5F38" w:rsidP="00EE5F38">
      <w:pPr>
        <w:shd w:val="clear" w:color="auto" w:fill="FFFFFF"/>
        <w:ind w:left="720"/>
        <w:rPr>
          <w:rFonts w:ascii="Arial" w:hAnsi="Arial" w:cs="Arial"/>
          <w:color w:val="000000"/>
          <w:sz w:val="24"/>
          <w:szCs w:val="24"/>
        </w:rPr>
      </w:pPr>
      <w:r>
        <w:rPr>
          <w:rFonts w:ascii="Arial" w:hAnsi="Arial" w:cs="Arial"/>
          <w:color w:val="000000"/>
          <w:sz w:val="24"/>
          <w:szCs w:val="24"/>
        </w:rPr>
        <w:t xml:space="preserve">For nuclear weapons workers applying for compensation under the </w:t>
      </w:r>
      <w:hyperlink r:id="rId5" w:history="1">
        <w:r>
          <w:rPr>
            <w:rStyle w:val="Hyperlink"/>
            <w:rFonts w:ascii="Arial" w:hAnsi="Arial" w:cs="Arial"/>
            <w:color w:val="0000FF"/>
            <w:sz w:val="24"/>
            <w:szCs w:val="24"/>
          </w:rPr>
          <w:t>Energy Employees Occupational Illness Compensation Program Act</w:t>
        </w:r>
      </w:hyperlink>
      <w:r>
        <w:rPr>
          <w:rFonts w:ascii="Arial" w:hAnsi="Arial" w:cs="Arial"/>
          <w:color w:val="000000"/>
          <w:sz w:val="24"/>
          <w:szCs w:val="24"/>
        </w:rPr>
        <w:t xml:space="preserve">, a presumption of causation can facilitate the process.  The EEOICPA provides compensation and medical benefits to employees whose work in the nuclear weapons industry made them ill.  Survivors of qualified workers may also be entitled to benefits. </w:t>
      </w:r>
    </w:p>
    <w:p w:rsidR="00EE5F38" w:rsidRDefault="00EE5F38" w:rsidP="00EE5F38">
      <w:pPr>
        <w:shd w:val="clear" w:color="auto" w:fill="FFFFFF"/>
        <w:ind w:left="720"/>
        <w:rPr>
          <w:rFonts w:ascii="Arial" w:hAnsi="Arial" w:cs="Arial"/>
          <w:color w:val="000000"/>
          <w:sz w:val="24"/>
          <w:szCs w:val="24"/>
        </w:rPr>
      </w:pPr>
    </w:p>
    <w:p w:rsidR="00EE5F38" w:rsidRDefault="00EE5F38" w:rsidP="00EE5F38">
      <w:pPr>
        <w:shd w:val="clear" w:color="auto" w:fill="FFFFFF"/>
        <w:ind w:left="720"/>
        <w:rPr>
          <w:rFonts w:ascii="Arial" w:hAnsi="Arial" w:cs="Arial"/>
          <w:color w:val="000000"/>
          <w:sz w:val="24"/>
          <w:szCs w:val="24"/>
        </w:rPr>
      </w:pPr>
      <w:r>
        <w:rPr>
          <w:rFonts w:ascii="Arial" w:hAnsi="Arial" w:cs="Arial"/>
          <w:color w:val="000000"/>
          <w:sz w:val="24"/>
          <w:szCs w:val="24"/>
        </w:rPr>
        <w:t xml:space="preserve">The SEC now includes DOE contractors and subcontractors who worked at the Hanford Site from January 1, 1984 through December 31, 1990, for at least 250 days total, either solely under this employment, or in combination with work days within the parameters established for one or more other classes of employees included in the SEC. </w:t>
      </w:r>
    </w:p>
    <w:p w:rsidR="00EE5F38" w:rsidRDefault="00EE5F38" w:rsidP="00EE5F38">
      <w:pPr>
        <w:shd w:val="clear" w:color="auto" w:fill="FFFFFF"/>
        <w:ind w:left="720"/>
        <w:rPr>
          <w:rFonts w:ascii="Arial" w:hAnsi="Arial" w:cs="Arial"/>
          <w:color w:val="000000"/>
          <w:sz w:val="24"/>
          <w:szCs w:val="24"/>
        </w:rPr>
      </w:pPr>
    </w:p>
    <w:p w:rsidR="00EE5F38" w:rsidRDefault="00EE5F38" w:rsidP="00EE5F38">
      <w:pPr>
        <w:shd w:val="clear" w:color="auto" w:fill="FFFFFF"/>
        <w:ind w:left="720"/>
        <w:rPr>
          <w:rFonts w:ascii="Arial" w:hAnsi="Arial" w:cs="Arial"/>
          <w:color w:val="000000"/>
          <w:sz w:val="24"/>
          <w:szCs w:val="24"/>
        </w:rPr>
      </w:pPr>
      <w:r>
        <w:rPr>
          <w:rFonts w:ascii="Arial" w:hAnsi="Arial" w:cs="Arial"/>
          <w:color w:val="000000"/>
          <w:sz w:val="24"/>
          <w:szCs w:val="24"/>
        </w:rPr>
        <w:t xml:space="preserve">The SEC excludes employees of the following Hanford contractors during the time periods specified below: </w:t>
      </w:r>
    </w:p>
    <w:p w:rsidR="00EE5F38" w:rsidRDefault="00EE5F38" w:rsidP="00EE5F38">
      <w:pPr>
        <w:shd w:val="clear" w:color="auto" w:fill="FFFFFF"/>
        <w:ind w:left="720"/>
        <w:rPr>
          <w:rFonts w:ascii="Arial" w:hAnsi="Arial" w:cs="Arial"/>
          <w:color w:val="000000"/>
          <w:sz w:val="24"/>
          <w:szCs w:val="24"/>
        </w:rPr>
      </w:pPr>
    </w:p>
    <w:p w:rsidR="00EE5F38" w:rsidRDefault="00EE5F38" w:rsidP="00EE5F38">
      <w:pPr>
        <w:shd w:val="clear" w:color="auto" w:fill="FFFFFF"/>
        <w:ind w:left="1080" w:hanging="360"/>
        <w:rPr>
          <w:rFonts w:ascii="Arial" w:hAnsi="Arial" w:cs="Arial"/>
          <w:color w:val="000000"/>
          <w:sz w:val="24"/>
          <w:szCs w:val="24"/>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4"/>
          <w:szCs w:val="24"/>
        </w:rPr>
        <w:t xml:space="preserve">Battelle Memorial Institute, January 1, 1984 through December 31, 1990; </w:t>
      </w:r>
    </w:p>
    <w:p w:rsidR="00EE5F38" w:rsidRDefault="00EE5F38" w:rsidP="00EE5F38">
      <w:pPr>
        <w:shd w:val="clear" w:color="auto" w:fill="FFFFFF"/>
        <w:ind w:left="1080" w:hanging="360"/>
        <w:rPr>
          <w:rFonts w:ascii="Arial" w:hAnsi="Arial" w:cs="Arial"/>
          <w:color w:val="000000"/>
          <w:sz w:val="24"/>
          <w:szCs w:val="24"/>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4"/>
          <w:szCs w:val="24"/>
        </w:rPr>
        <w:t xml:space="preserve">Rockwell Hanford Operations, January 1, 1984 through June 28, 1987; </w:t>
      </w:r>
    </w:p>
    <w:p w:rsidR="00EE5F38" w:rsidRDefault="00EE5F38" w:rsidP="00EE5F38">
      <w:pPr>
        <w:shd w:val="clear" w:color="auto" w:fill="FFFFFF"/>
        <w:ind w:left="1080" w:hanging="360"/>
        <w:rPr>
          <w:rFonts w:ascii="Arial" w:hAnsi="Arial" w:cs="Arial"/>
          <w:color w:val="000000"/>
          <w:sz w:val="24"/>
          <w:szCs w:val="24"/>
        </w:rPr>
      </w:pPr>
      <w:r>
        <w:rPr>
          <w:rFonts w:ascii="Symbol" w:hAnsi="Symbol"/>
          <w:color w:val="000000"/>
          <w:sz w:val="20"/>
          <w:szCs w:val="20"/>
        </w:rPr>
        <w:lastRenderedPageBreak/>
        <w:t></w:t>
      </w:r>
      <w:r>
        <w:rPr>
          <w:rFonts w:ascii="Times New Roman" w:hAnsi="Times New Roman"/>
          <w:color w:val="000000"/>
          <w:sz w:val="14"/>
          <w:szCs w:val="14"/>
        </w:rPr>
        <w:t xml:space="preserve">        </w:t>
      </w:r>
      <w:r>
        <w:rPr>
          <w:rFonts w:ascii="Arial" w:hAnsi="Arial" w:cs="Arial"/>
          <w:color w:val="000000"/>
          <w:sz w:val="24"/>
          <w:szCs w:val="24"/>
        </w:rPr>
        <w:t xml:space="preserve">Boeing Computer Services Richland, January 1, 1984 through June 28, 1987; </w:t>
      </w:r>
    </w:p>
    <w:p w:rsidR="00EE5F38" w:rsidRDefault="00EE5F38" w:rsidP="00EE5F38">
      <w:pPr>
        <w:shd w:val="clear" w:color="auto" w:fill="FFFFFF"/>
        <w:ind w:left="1080" w:hanging="360"/>
        <w:rPr>
          <w:rFonts w:ascii="Arial" w:hAnsi="Arial" w:cs="Arial"/>
          <w:color w:val="000000"/>
          <w:sz w:val="24"/>
          <w:szCs w:val="24"/>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4"/>
          <w:szCs w:val="24"/>
        </w:rPr>
        <w:t xml:space="preserve">UNC Nuclear Industries, January 1, 1984 through June 28, 1987; </w:t>
      </w:r>
    </w:p>
    <w:p w:rsidR="00EE5F38" w:rsidRDefault="00EE5F38" w:rsidP="00EE5F38">
      <w:pPr>
        <w:shd w:val="clear" w:color="auto" w:fill="FFFFFF"/>
        <w:ind w:left="1080" w:hanging="360"/>
        <w:rPr>
          <w:rFonts w:ascii="Arial" w:hAnsi="Arial" w:cs="Arial"/>
          <w:color w:val="000000"/>
          <w:sz w:val="24"/>
          <w:szCs w:val="24"/>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4"/>
          <w:szCs w:val="24"/>
        </w:rPr>
        <w:t xml:space="preserve">Westinghouse Hanford Company, January 1, 1984 through December 31, 1990; and </w:t>
      </w:r>
    </w:p>
    <w:p w:rsidR="00EE5F38" w:rsidRDefault="00EE5F38" w:rsidP="00EE5F38">
      <w:pPr>
        <w:shd w:val="clear" w:color="auto" w:fill="FFFFFF"/>
        <w:ind w:left="1080" w:hanging="360"/>
        <w:rPr>
          <w:rFonts w:ascii="Arial" w:hAnsi="Arial" w:cs="Arial"/>
          <w:color w:val="000000"/>
          <w:sz w:val="24"/>
          <w:szCs w:val="24"/>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4"/>
          <w:szCs w:val="24"/>
        </w:rPr>
        <w:t xml:space="preserve">Hanford Environmental Health Foundation, January 1, 1984 through December 31, 1990. </w:t>
      </w:r>
    </w:p>
    <w:p w:rsidR="00EE5F38" w:rsidRDefault="00EE5F38" w:rsidP="00EE5F38">
      <w:pPr>
        <w:shd w:val="clear" w:color="auto" w:fill="FFFFFF"/>
        <w:ind w:left="720"/>
        <w:rPr>
          <w:rFonts w:ascii="Arial" w:hAnsi="Arial" w:cs="Arial"/>
          <w:color w:val="000000"/>
          <w:sz w:val="24"/>
          <w:szCs w:val="24"/>
        </w:rPr>
      </w:pPr>
    </w:p>
    <w:p w:rsidR="00EE5F38" w:rsidRDefault="00EE5F38" w:rsidP="00EE5F38">
      <w:pPr>
        <w:ind w:left="720"/>
        <w:rPr>
          <w:rFonts w:ascii="Arial" w:hAnsi="Arial" w:cs="Arial"/>
          <w:sz w:val="24"/>
          <w:szCs w:val="24"/>
        </w:rPr>
      </w:pPr>
      <w:r>
        <w:rPr>
          <w:rFonts w:ascii="Arial" w:hAnsi="Arial" w:cs="Arial"/>
          <w:color w:val="000000"/>
          <w:sz w:val="24"/>
          <w:szCs w:val="24"/>
        </w:rPr>
        <w:t>To date, $1.1 billion in EEOICPA compensation and medical benefits has been paid to 10,803 Hanford claimants, while more than $11.6 billion has been paid nationwide.  For additional information about the new SEC or to schedule an appointment for claim-filing assistance, contact the Labor Department's Hanford Resource Center toll-free at 888-654-0014.</w:t>
      </w:r>
    </w:p>
    <w:p w:rsidR="009C2A70" w:rsidRDefault="009C2A70"/>
    <w:sectPr w:rsidR="009C2A70" w:rsidSect="009C2A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5F38"/>
    <w:rsid w:val="000538A1"/>
    <w:rsid w:val="009220ED"/>
    <w:rsid w:val="009C2A70"/>
    <w:rsid w:val="00A13232"/>
    <w:rsid w:val="00A27886"/>
    <w:rsid w:val="00B03682"/>
    <w:rsid w:val="00DF6445"/>
    <w:rsid w:val="00EE5F38"/>
    <w:rsid w:val="00F63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3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5F38"/>
    <w:rPr>
      <w:color w:val="0563C1"/>
      <w:u w:val="single"/>
    </w:rPr>
  </w:style>
  <w:style w:type="paragraph" w:styleId="Title">
    <w:name w:val="Title"/>
    <w:basedOn w:val="Normal"/>
    <w:link w:val="TitleChar"/>
    <w:uiPriority w:val="10"/>
    <w:qFormat/>
    <w:rsid w:val="00EE5F38"/>
    <w:pPr>
      <w:snapToGrid w:val="0"/>
      <w:spacing w:before="240" w:after="60"/>
      <w:jc w:val="center"/>
    </w:pPr>
    <w:rPr>
      <w:rFonts w:ascii="Times New Roman" w:hAnsi="Times New Roman"/>
      <w:b/>
      <w:bCs/>
      <w:sz w:val="40"/>
      <w:szCs w:val="40"/>
    </w:rPr>
  </w:style>
  <w:style w:type="character" w:customStyle="1" w:styleId="TitleChar">
    <w:name w:val="Title Char"/>
    <w:basedOn w:val="DefaultParagraphFont"/>
    <w:link w:val="Title"/>
    <w:uiPriority w:val="10"/>
    <w:rsid w:val="00EE5F38"/>
    <w:rPr>
      <w:rFonts w:ascii="Times New Roman" w:hAnsi="Times New Roman" w:cs="Times New Roman"/>
      <w:b/>
      <w:bCs/>
      <w:sz w:val="40"/>
      <w:szCs w:val="40"/>
    </w:rPr>
  </w:style>
  <w:style w:type="paragraph" w:customStyle="1" w:styleId="heading">
    <w:name w:val="heading"/>
    <w:basedOn w:val="Normal"/>
    <w:rsid w:val="00EE5F38"/>
    <w:rPr>
      <w:rFonts w:ascii="Arial" w:hAnsi="Arial" w:cs="Arial"/>
    </w:rPr>
  </w:style>
  <w:style w:type="character" w:customStyle="1" w:styleId="toheading">
    <w:name w:val="to_heading"/>
    <w:basedOn w:val="DefaultParagraphFont"/>
    <w:rsid w:val="00EE5F38"/>
    <w:rPr>
      <w:rFonts w:ascii="Arial" w:hAnsi="Arial" w:cs="Arial" w:hint="default"/>
      <w:b/>
      <w:bCs/>
    </w:rPr>
  </w:style>
</w:styles>
</file>

<file path=word/webSettings.xml><?xml version="1.0" encoding="utf-8"?>
<w:webSettings xmlns:r="http://schemas.openxmlformats.org/officeDocument/2006/relationships" xmlns:w="http://schemas.openxmlformats.org/wordprocessingml/2006/main">
  <w:divs>
    <w:div w:id="157531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l.gov/owcp/energy/" TargetMode="External"/><Relationship Id="rId4" Type="http://schemas.openxmlformats.org/officeDocument/2006/relationships/hyperlink" Target="http://www.dol.gov/owcp/energy/regs/compliance/law/SEC-Employe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2015-07-23T20:47:00Z</dcterms:created>
  <dcterms:modified xsi:type="dcterms:W3CDTF">2015-07-23T20:48:00Z</dcterms:modified>
</cp:coreProperties>
</file>